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sz w:val="28"/>
          <w:b/>
          <w:sz w:val="28"/>
          <w:b/>
          <w:szCs w:val="28"/>
          <w:bCs/>
        </w:rPr>
      </w:pPr>
      <w:r>
        <w:rPr>
          <w:b/>
          <w:bCs/>
          <w:sz w:val="40"/>
          <w:szCs w:val="40"/>
        </w:rPr>
        <w:t>Verslag van de penningmeester over het jaar 2014</w:t>
      </w:r>
      <w:r/>
    </w:p>
    <w:p>
      <w:pPr>
        <w:pStyle w:val="Normal"/>
        <w:rPr>
          <w:sz w:val="28"/>
          <w:b/>
          <w:sz w:val="28"/>
          <w:b/>
          <w:szCs w:val="28"/>
          <w:bCs/>
          <w:rFonts w:ascii="Times New Roman" w:hAnsi="Times New Roman" w:eastAsia="Times New Roman" w:cs="Times New Roman"/>
          <w:color w:val="00000A"/>
          <w:lang w:val="nl-NL" w:eastAsia="zh-CN" w:bidi="ar-SA"/>
        </w:rPr>
      </w:pPr>
      <w:r>
        <w:rPr>
          <w:rFonts w:eastAsia="Times New Roman" w:cs="Times New Roman"/>
          <w:b/>
          <w:bCs/>
          <w:color w:val="00000A"/>
          <w:sz w:val="28"/>
          <w:szCs w:val="28"/>
          <w:lang w:val="nl-NL" w:bidi="ar-SA"/>
        </w:rPr>
      </w:r>
      <w:r/>
    </w:p>
    <w:p>
      <w:pPr>
        <w:pStyle w:val="Normal"/>
        <w:rPr>
          <w:sz w:val="28"/>
          <w:sz w:val="28"/>
          <w:szCs w:val="28"/>
        </w:rPr>
      </w:pPr>
      <w:r>
        <w:rPr>
          <w:b/>
          <w:bCs/>
          <w:sz w:val="24"/>
          <w:szCs w:val="24"/>
        </w:rPr>
        <w:t>Bank</w:t>
      </w:r>
      <w:r/>
    </w:p>
    <w:p>
      <w:pPr>
        <w:pStyle w:val="Normal"/>
      </w:pPr>
      <w:r>
        <w:rPr>
          <w:sz w:val="24"/>
          <w:szCs w:val="24"/>
        </w:rPr>
        <w:t xml:space="preserve">Halverwege het jaar </w:t>
      </w:r>
      <w:r>
        <w:rPr>
          <w:sz w:val="24"/>
          <w:szCs w:val="24"/>
        </w:rPr>
        <w:t>2014</w:t>
      </w:r>
      <w:r>
        <w:rPr>
          <w:sz w:val="24"/>
          <w:szCs w:val="24"/>
        </w:rPr>
        <w:t xml:space="preserve"> is het penningmeesterschap overgenomen van Eva Hoorn, dus moest er van postadres worden gewisseld. Deze wisseling was voor het bestuur de aanleiding kritisch te kijken naar de financiën, met name naar de keuze van de bank.</w:t>
      </w:r>
      <w:r/>
    </w:p>
    <w:p>
      <w:pPr>
        <w:pStyle w:val="Normal"/>
        <w:rPr>
          <w:sz w:val="24"/>
          <w:sz w:val="24"/>
          <w:szCs w:val="24"/>
          <w:rFonts w:ascii="Times New Roman" w:hAnsi="Times New Roman" w:eastAsia="Times New Roman" w:cs="Times New Roman"/>
          <w:color w:val="00000A"/>
          <w:lang w:val="nl-NL" w:eastAsia="zh-CN" w:bidi="ar-SA"/>
        </w:rPr>
      </w:pPr>
      <w:r>
        <w:rPr>
          <w:rFonts w:eastAsia="Times New Roman" w:cs="Times New Roman"/>
          <w:color w:val="00000A"/>
          <w:sz w:val="24"/>
          <w:szCs w:val="24"/>
          <w:lang w:val="nl-NL" w:bidi="ar-SA"/>
        </w:rPr>
      </w:r>
      <w:r/>
    </w:p>
    <w:p>
      <w:pPr>
        <w:pStyle w:val="Normal"/>
      </w:pPr>
      <w:r>
        <w:rPr>
          <w:sz w:val="24"/>
          <w:szCs w:val="24"/>
        </w:rPr>
        <w:t>De rente op ons kapitaal ging bij ING drastisch naar beneden en ook over ING zelf was een negatieve stemming ontstaan. Daarom hebben wij ervoor gekozen ons kapitaal onder te brengen op een spaarrekening bij ASN. Meer rente en ook wat meer maatschappelijke betrokkenheid. De betaalrekening blijft echter om praktische redenen bij ING met het bekende rekeningnummer.</w:t>
      </w:r>
      <w:r/>
    </w:p>
    <w:p>
      <w:pPr>
        <w:pStyle w:val="Normal"/>
        <w:rPr>
          <w:sz w:val="24"/>
          <w:sz w:val="24"/>
          <w:szCs w:val="24"/>
          <w:rFonts w:ascii="Times New Roman" w:hAnsi="Times New Roman" w:eastAsia="Times New Roman" w:cs="Times New Roman"/>
          <w:color w:val="00000A"/>
          <w:lang w:val="nl-NL" w:eastAsia="zh-CN" w:bidi="ar-SA"/>
        </w:rPr>
      </w:pPr>
      <w:r>
        <w:rPr>
          <w:rFonts w:eastAsia="Times New Roman" w:cs="Times New Roman"/>
          <w:color w:val="00000A"/>
          <w:sz w:val="24"/>
          <w:szCs w:val="24"/>
          <w:lang w:val="nl-NL" w:bidi="ar-SA"/>
        </w:rPr>
      </w:r>
      <w:r/>
    </w:p>
    <w:p>
      <w:pPr>
        <w:pStyle w:val="Normal"/>
        <w:rPr>
          <w:sz w:val="28"/>
          <w:sz w:val="28"/>
          <w:szCs w:val="28"/>
        </w:rPr>
      </w:pPr>
      <w:r>
        <w:rPr>
          <w:b/>
          <w:bCs/>
          <w:sz w:val="24"/>
          <w:szCs w:val="24"/>
        </w:rPr>
        <w:t>Leden</w:t>
      </w:r>
      <w:r/>
    </w:p>
    <w:p>
      <w:pPr>
        <w:pStyle w:val="Normal"/>
      </w:pPr>
      <w:r>
        <w:rPr>
          <w:sz w:val="24"/>
          <w:szCs w:val="24"/>
        </w:rPr>
        <w:t>Er zijn geen bijzonderheden te vermelden. Het aantal leden schommelt al tijden tussen de 90 en de 100 en zo was het ook in 2014.</w:t>
      </w:r>
      <w:r/>
    </w:p>
    <w:p>
      <w:pPr>
        <w:pStyle w:val="Normal"/>
        <w:rPr>
          <w:sz w:val="24"/>
          <w:sz w:val="24"/>
          <w:szCs w:val="24"/>
          <w:rFonts w:ascii="Times New Roman" w:hAnsi="Times New Roman" w:eastAsia="Times New Roman" w:cs="Times New Roman"/>
          <w:color w:val="00000A"/>
          <w:lang w:val="nl-NL" w:eastAsia="zh-CN" w:bidi="ar-SA"/>
        </w:rPr>
      </w:pPr>
      <w:r>
        <w:rPr>
          <w:rFonts w:eastAsia="Times New Roman" w:cs="Times New Roman"/>
          <w:color w:val="00000A"/>
          <w:sz w:val="24"/>
          <w:szCs w:val="24"/>
          <w:lang w:val="nl-NL" w:bidi="ar-SA"/>
        </w:rPr>
      </w:r>
      <w:r/>
    </w:p>
    <w:p>
      <w:pPr>
        <w:pStyle w:val="Normal"/>
        <w:rPr>
          <w:sz w:val="28"/>
          <w:sz w:val="28"/>
          <w:szCs w:val="28"/>
        </w:rPr>
      </w:pPr>
      <w:r>
        <w:rPr>
          <w:b/>
          <w:bCs/>
          <w:sz w:val="24"/>
          <w:szCs w:val="24"/>
        </w:rPr>
        <w:t>Kascommissie</w:t>
      </w:r>
      <w:r/>
    </w:p>
    <w:p>
      <w:pPr>
        <w:pStyle w:val="Normal"/>
      </w:pPr>
      <w:r>
        <w:rPr>
          <w:sz w:val="24"/>
          <w:szCs w:val="24"/>
        </w:rPr>
        <w:t>De wettelijke regelgeving rond de kascontrole van verenigingen is recentelijk aangepast: de kascommissie is gehouden om, naast de financiële controle, ook te kijken of het bestuur zich houdt aan de statuten en naar het breder belang van de leden. Dat heeft de kascommissie 2014 zich ter harte genomen en zij komt in haar verslag met een opmerking en een aanbeveling.</w:t>
      </w:r>
      <w:r/>
    </w:p>
    <w:p>
      <w:pPr>
        <w:pStyle w:val="Normal"/>
        <w:rPr>
          <w:sz w:val="24"/>
          <w:sz w:val="24"/>
          <w:szCs w:val="24"/>
          <w:rFonts w:ascii="Times New Roman" w:hAnsi="Times New Roman" w:eastAsia="Times New Roman" w:cs="Times New Roman"/>
          <w:color w:val="00000A"/>
          <w:lang w:val="nl-NL" w:eastAsia="zh-CN" w:bidi="ar-SA"/>
        </w:rPr>
      </w:pPr>
      <w:r>
        <w:rPr>
          <w:rFonts w:eastAsia="Times New Roman" w:cs="Times New Roman"/>
          <w:color w:val="00000A"/>
          <w:sz w:val="24"/>
          <w:szCs w:val="24"/>
          <w:lang w:val="nl-NL" w:bidi="ar-SA"/>
        </w:rPr>
      </w:r>
      <w:r/>
    </w:p>
    <w:p>
      <w:pPr>
        <w:pStyle w:val="Normal"/>
        <w:rPr>
          <w:sz w:val="28"/>
          <w:sz w:val="28"/>
          <w:szCs w:val="28"/>
        </w:rPr>
      </w:pPr>
      <w:r>
        <w:rPr>
          <w:b/>
          <w:bCs/>
          <w:sz w:val="24"/>
          <w:szCs w:val="24"/>
        </w:rPr>
        <w:t>Contributie</w:t>
      </w:r>
      <w:r/>
    </w:p>
    <w:p>
      <w:pPr>
        <w:pStyle w:val="Normal"/>
      </w:pPr>
      <w:r>
        <w:rPr>
          <w:sz w:val="24"/>
          <w:szCs w:val="24"/>
        </w:rPr>
        <w:t>Omdat er voldoende reserve aanwezig is om tegenvallers op te vangen stelt het bestuur voor de contributie te handhaven op € 30 per jaar.</w:t>
      </w:r>
      <w:r/>
    </w:p>
    <w:p>
      <w:pPr>
        <w:pStyle w:val="Normal"/>
        <w:rPr>
          <w:sz w:val="24"/>
          <w:sz w:val="24"/>
          <w:szCs w:val="24"/>
          <w:rFonts w:ascii="Times New Roman" w:hAnsi="Times New Roman" w:eastAsia="Times New Roman" w:cs="Times New Roman"/>
          <w:color w:val="00000A"/>
          <w:lang w:val="nl-NL" w:eastAsia="zh-CN" w:bidi="ar-SA"/>
        </w:rPr>
      </w:pPr>
      <w:r>
        <w:rPr>
          <w:rFonts w:eastAsia="Times New Roman" w:cs="Times New Roman"/>
          <w:color w:val="00000A"/>
          <w:sz w:val="24"/>
          <w:szCs w:val="24"/>
          <w:lang w:val="nl-NL" w:bidi="ar-SA"/>
        </w:rPr>
      </w:r>
      <w:r/>
    </w:p>
    <w:p>
      <w:pPr>
        <w:pStyle w:val="Normal"/>
        <w:rPr>
          <w:sz w:val="24"/>
          <w:sz w:val="24"/>
          <w:szCs w:val="24"/>
          <w:rFonts w:ascii="Times New Roman" w:hAnsi="Times New Roman" w:eastAsia="Times New Roman" w:cs="Times New Roman"/>
          <w:color w:val="00000A"/>
          <w:lang w:val="nl-NL" w:bidi="ar-SA"/>
        </w:rPr>
      </w:pPr>
      <w:r>
        <w:rPr>
          <w:sz w:val="24"/>
          <w:szCs w:val="24"/>
        </w:rPr>
        <w:t>16 mei 2015</w:t>
      </w:r>
      <w:r/>
    </w:p>
    <w:p>
      <w:pPr>
        <w:pStyle w:val="Normal"/>
        <w:rPr>
          <w:sz w:val="24"/>
          <w:sz w:val="24"/>
          <w:szCs w:val="24"/>
          <w:rFonts w:ascii="Times New Roman" w:hAnsi="Times New Roman" w:eastAsia="Times New Roman" w:cs="Times New Roman"/>
          <w:color w:val="00000A"/>
          <w:lang w:val="nl-NL" w:bidi="ar-SA"/>
        </w:rPr>
      </w:pPr>
      <w:r>
        <w:rPr>
          <w:sz w:val="24"/>
          <w:szCs w:val="24"/>
        </w:rPr>
        <w:t>Rein van Eck,  penningmeester</w:t>
      </w:r>
      <w:r/>
    </w:p>
    <w:p>
      <w:pPr>
        <w:pStyle w:val="Normal"/>
        <w:rPr>
          <w:sz w:val="24"/>
          <w:sz w:val="24"/>
          <w:szCs w:val="24"/>
          <w:rFonts w:ascii="Times New Roman" w:hAnsi="Times New Roman" w:eastAsia="Times New Roman" w:cs="Times New Roman"/>
          <w:color w:val="00000A"/>
          <w:lang w:val="nl-NL" w:eastAsia="zh-CN" w:bidi="ar-SA"/>
        </w:rPr>
      </w:pPr>
      <w:r>
        <w:rPr>
          <w:rFonts w:eastAsia="Times New Roman" w:cs="Times New Roman"/>
          <w:color w:val="00000A"/>
          <w:sz w:val="24"/>
          <w:szCs w:val="24"/>
          <w:lang w:val="nl-NL" w:bidi="ar-SA"/>
        </w:rPr>
      </w:r>
      <w:r/>
    </w:p>
    <w:p>
      <w:pPr>
        <w:pStyle w:val="Normal"/>
        <w:rPr>
          <w:sz w:val="28"/>
          <w:sz w:val="28"/>
          <w:szCs w:val="28"/>
          <w:rFonts w:ascii="Times New Roman" w:hAnsi="Times New Roman" w:eastAsia="Times New Roman" w:cs="Times New Roman"/>
          <w:color w:val="00000A"/>
          <w:lang w:val="nl-NL" w:eastAsia="zh-CN" w:bidi="ar-SA"/>
        </w:rPr>
      </w:pPr>
      <w:r>
        <w:rPr>
          <w:rFonts w:eastAsia="Times New Roman" w:cs="Times New Roman"/>
          <w:color w:val="00000A"/>
          <w:sz w:val="28"/>
          <w:szCs w:val="28"/>
          <w:lang w:val="nl-NL" w:bidi="ar-SA"/>
        </w:rPr>
      </w:r>
      <w:r/>
    </w:p>
    <w:p>
      <w:pPr>
        <w:pStyle w:val="Normal"/>
        <w:rPr>
          <w:sz w:val="28"/>
          <w:sz w:val="28"/>
          <w:szCs w:val="28"/>
          <w:rFonts w:ascii="Times New Roman" w:hAnsi="Times New Roman" w:eastAsia="Times New Roman" w:cs="Times New Roman"/>
          <w:color w:val="00000A"/>
          <w:lang w:val="nl-NL" w:eastAsia="zh-CN" w:bidi="ar-SA"/>
        </w:rPr>
      </w:pPr>
      <w:r>
        <w:rPr>
          <w:rFonts w:eastAsia="Times New Roman" w:cs="Times New Roman"/>
          <w:color w:val="00000A"/>
          <w:sz w:val="28"/>
          <w:szCs w:val="28"/>
          <w:lang w:val="nl-NL" w:bidi="ar-SA"/>
        </w:rPr>
      </w:r>
      <w:r/>
    </w:p>
    <w:p>
      <w:pPr>
        <w:pStyle w:val="Normal"/>
        <w:rPr>
          <w:sz w:val="28"/>
          <w:sz w:val="28"/>
          <w:szCs w:val="28"/>
          <w:rFonts w:ascii="Times New Roman" w:hAnsi="Times New Roman" w:eastAsia="Times New Roman" w:cs="Times New Roman"/>
          <w:color w:val="00000A"/>
          <w:lang w:val="nl-NL" w:eastAsia="zh-CN" w:bidi="ar-SA"/>
        </w:rPr>
      </w:pPr>
      <w:r>
        <w:rPr>
          <w:rFonts w:eastAsia="Times New Roman" w:cs="Times New Roman"/>
          <w:color w:val="00000A"/>
          <w:sz w:val="28"/>
          <w:szCs w:val="28"/>
          <w:lang w:val="nl-NL" w:bidi="ar-SA"/>
        </w:rPr>
      </w:r>
      <w:r/>
    </w:p>
    <w:p>
      <w:pPr>
        <w:pStyle w:val="Normal"/>
        <w:rPr>
          <w:sz w:val="20"/>
          <w:sz w:val="20"/>
          <w:szCs w:val="20"/>
          <w:rFonts w:ascii="Times New Roman" w:hAnsi="Times New Roman" w:eastAsia="Times New Roman" w:cs="Times New Roman"/>
          <w:color w:val="00000A"/>
          <w:lang w:val="nl-NL" w:eastAsia="zh-CN" w:bidi="ar-SA"/>
        </w:rPr>
      </w:pPr>
      <w:r>
        <w:rPr/>
      </w:r>
      <w:r/>
    </w:p>
    <w:sectPr>
      <w:type w:val="nextPage"/>
      <w:pgSz w:w="11906" w:h="16838"/>
      <w:pgMar w:left="1134" w:right="1134" w:header="0" w:top="1134" w:footer="0" w:bottom="1134" w:gutter="0"/>
      <w:pgNumType w:fmt="decimal"/>
      <w:formProt w:val="false"/>
      <w:textDirection w:val="lrTb"/>
      <w:docGrid w:type="default" w:linePitch="600" w:charSpace="20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nl-NL" w:eastAsia="zh-CN" w:bidi="hi-IN"/>
      </w:rPr>
    </w:rPrDefault>
    <w:pPrDefault>
      <w:pPr/>
    </w:pPrDefault>
  </w:docDefaults>
  <w:style w:type="paragraph" w:styleId="Normal">
    <w:name w:val="Normal"/>
    <w:pPr>
      <w:widowControl w:val="false"/>
      <w:suppressAutoHyphens w:val="true"/>
      <w:bidi w:val="0"/>
      <w:jc w:val="left"/>
    </w:pPr>
    <w:rPr>
      <w:rFonts w:ascii="Times New Roman" w:hAnsi="Times New Roman" w:eastAsia="Times New Roman" w:cs="Times New Roman"/>
      <w:color w:val="00000A"/>
      <w:sz w:val="20"/>
      <w:szCs w:val="20"/>
      <w:lang w:val="nl-NL" w:eastAsia="zh-CN" w:bidi="ar-SA"/>
    </w:rPr>
  </w:style>
  <w:style w:type="character" w:styleId="Standaardalinealettertype">
    <w:name w:val="Standaardalinea-lettertype"/>
    <w:rPr/>
  </w:style>
  <w:style w:type="paragraph" w:styleId="Kop">
    <w:name w:val="Kop"/>
    <w:basedOn w:val="Normal"/>
    <w:next w:val="Tekstblok"/>
    <w:pPr>
      <w:keepNext/>
      <w:spacing w:before="240" w:after="120"/>
    </w:pPr>
    <w:rPr>
      <w:rFonts w:ascii="Liberation Sans" w:hAnsi="Liberation Sans" w:eastAsia="Microsoft YaHei" w:cs="Mangal"/>
      <w:sz w:val="28"/>
      <w:szCs w:val="28"/>
    </w:rPr>
  </w:style>
  <w:style w:type="paragraph" w:styleId="Tekstblok">
    <w:name w:val="Tekstblok"/>
    <w:basedOn w:val="Normal"/>
    <w:pPr>
      <w:spacing w:lineRule="auto" w:line="288" w:before="0" w:after="120"/>
    </w:pPr>
    <w:rPr/>
  </w:style>
  <w:style w:type="paragraph" w:styleId="Lijst">
    <w:name w:val="Lijst"/>
    <w:basedOn w:val="Tekstblok"/>
    <w:pPr/>
    <w:rPr>
      <w:rFonts w:cs="Mangal"/>
    </w:rPr>
  </w:style>
  <w:style w:type="paragraph" w:styleId="Bijschrift">
    <w:name w:val="Bijschrift"/>
    <w:basedOn w:val="Normal"/>
    <w:pPr>
      <w:suppressLineNumbers/>
      <w:spacing w:before="120" w:after="120"/>
    </w:pPr>
    <w:rPr>
      <w:rFonts w:cs="Mangal"/>
      <w:i/>
      <w:iCs/>
      <w:sz w:val="24"/>
      <w:szCs w:val="24"/>
    </w:rPr>
  </w:style>
  <w:style w:type="paragraph" w:styleId="Index">
    <w:name w:val="Index"/>
    <w:basedOn w:val="Normal"/>
    <w:pPr>
      <w:suppressLineNumbers/>
    </w:pPr>
    <w:rPr>
      <w:rFonts w:cs="Mangal"/>
    </w:rPr>
  </w:style>
  <w:style w:type="paragraph" w:styleId="Bijschrift1">
    <w:name w:val="Bijschrift1"/>
    <w:basedOn w:val="Normal"/>
    <w:pPr>
      <w:suppressLineNumbers/>
      <w:spacing w:before="120" w:after="1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310</TotalTime>
  <Application>LibreOffice/4.3.0.4$Windows_x86 LibreOffice_project/62ad5818884a2fc2e5780dd45466868d41009ec0</Application>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2015-05-20T21:18:00Z</dcterms:created>
  <dc:creator>Rein van Eck</dc:creator>
  <dc:language>nl-NL</dc:language>
  <cp:lastPrinted>2015-05-06T12:37:00Z</cp:lastPrinted>
  <dcterms:modified xsi:type="dcterms:W3CDTF">2015-05-26T20:25:37Z</dcterms:modified>
  <cp:revision>4</cp:revision>
</cp:coreProperties>
</file>